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12 vom 16. Juli 2015</w:t>
      </w:r>
    </w:p>
    <w:p>
      <w:r>
        <w:t>GR Gerichte, 2015-07-16, DE</w:t>
      </w:r>
    </w:p>
    <w:p>
      <w:r>
        <w:rPr>
          <w:b/>
        </w:rPr>
        <w:t xml:space="preserve">Quelle: </w:t>
      </w:r>
      <w:r>
        <w:t>https://mcp.opencaselaw.ch/entscheid/gr_gerichte_SK2 2015 12</w:t>
      </w:r>
    </w:p>
    <w:p>
      <w:r>
        <w:t>FR: GR_GERICHTE SK2 2015 12 du 16 juillet 2015</w:t>
      </w:r>
    </w:p>
    <w:p>
      <w:r>
        <w:t>IT: GR_GERICHTE SK2 2015 12 del 16 luglio 2015</w:t>
      </w:r>
    </w:p>
    <w:p>
      <w:pPr>
        <w:pStyle w:val="Heading2"/>
      </w:pPr>
      <w:r>
        <w:t>Regeste</w:t>
      </w:r>
    </w:p>
    <w:p>
      <w:r>
        <w:t>Veruntreuung | Beschwerde gegen StA, Einstellungsverfügung</w:t>
      </w:r>
    </w:p>
    <w:p>
      <w:pPr>
        <w:pStyle w:val="Heading2"/>
      </w:pPr>
      <w:r>
        <w:t>Erwägungen</w:t>
      </w:r>
    </w:p>
    <w:p>
      <w:r>
        <w:rPr>
          <w:b/>
        </w:rPr>
        <w:t>E. 1</w:t>
      </w:r>
    </w:p>
    <w:p>
      <w:r>
        <w:t>lit. a StPO), welche Gründe einen anderen Entscheid nahelegen (Art. 385 Abs. 1 lit. b StPO) und welche Beweismittel sie anruft (Art. 385 Abs. 1 lit. c StPO). Mit Beschwerde können gemäss Art. 393 Abs. 2 StPO sowohl Rechtsverletzungen, einschliesslich Überschreitung und Missbrauch des Ermessens, Rechtsverweige- rung und Rechtsverzögerung (lit. a), als auch die unvollständige oder unrichtige Feststellung des Sachverhalts (lit. b) gerügt werden. Ferner kann die Rüge der Unangemessenheit (lit. c) erhoben werden.</w:t>
      </w:r>
    </w:p>
    <w:p>
      <w:r>
        <w:t>Seite 4 — 17 b)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im Strafpunkt konstituiert haben (Art. 118 Abs. 1 StPO; Urteil des Bundesgerichts 1B_298/2012 vom 27. August 2012 E. 2.1; Rolf Grädel/Matthias Heiniger, in: Niggli/Heer/Wiprächtiger [Hrsg.], Basler Kommentar, Schweizerischen Strafprozessordnung, 2. Aufl., Basel 2014, N</w:t>
      </w:r>
    </w:p>
    <w:p>
      <w:r>
        <w:rPr>
          <w:b/>
        </w:rPr>
        <w:t>E. 6</w:t>
      </w:r>
    </w:p>
    <w:p>
      <w:r>
        <w:t>a) Bei diesem Ausgang des Verfahrens wird der Beschwerdeführer kosten- pflichtig (Art. 428 Abs. 1 StPO). In Anwendung von Art. 8 der Verordnung über die Gerichtsgebühren in Strafverfahren (VGS; BR 350.201) werden die Kosten des Beschwerdeverfahrens vorliegend auf Fr. 1'500.00 festgesetzt und dem Be- schwerdeführer auferlegt. b) Für die Ansprüche auf Entschädigung und Genugtuung im Rechtsmittelver- fahren verweist Art. 436 Abs. 1 StPO auf die Art. 429-434 StPO. Der Beschwerde- führer unterliegt im vorliegenden, ausschliesslich von ihm initiierten Beschwerde- verfahren vollständig und ist gemäss der Praxis des Kantonsgerichts deshalb in analoger Anwendung von Art. 432 Abs. 1 StPO zu verpflichten, der Beschwerde- gegnerin für ihre anwaltlichen Umtriebe im Beschwerdeverfahren eine angemes- sene Prozessentschädigung zu bezahlen (vgl. u.a. Beschluss des Kantonsgerichts von Graubünden SK2 14 39 vom 11. Februar 2015 E. 7b m.w.H.). Mangels einge- reichter Honorarnote ist die beantragte Entschädigung nach Ermessen festzuset- zen. Unter Berücksichtigung des zeitlichen Aufwands sowie der Schwierigkeit der Sache erscheint eine Entschädigung in der Höhe von Fr. 500.00 einschliesslich Mehrwertsteuer als angemessen. Der Beschwerdeführer wird daher verpflichtet,</w:t>
      </w:r>
    </w:p>
    <w:p>
      <w:r>
        <w:t>Seite 16 — 17 die Beschwerdegegnerin mit Fr. 500.00 (inkl. MwSt.) ausseramtlich zu entschädi- 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